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BB80" w14:textId="77777777" w:rsidR="009A406F" w:rsidRPr="00424089" w:rsidRDefault="009A406F" w:rsidP="009A406F">
      <w:pPr>
        <w:spacing w:after="0"/>
        <w:jc w:val="center"/>
        <w:rPr>
          <w:b/>
          <w:bCs/>
          <w:sz w:val="32"/>
          <w:szCs w:val="32"/>
          <w:lang w:val="fr-CA"/>
        </w:rPr>
      </w:pPr>
      <w:r w:rsidRPr="00424089">
        <w:rPr>
          <w:b/>
          <w:bCs/>
          <w:sz w:val="32"/>
          <w:szCs w:val="32"/>
          <w:lang w:val="fr-CA"/>
        </w:rPr>
        <w:t>Politique de qualité / Déclaration QMS</w:t>
      </w:r>
    </w:p>
    <w:p w14:paraId="39F5F77D" w14:textId="77777777" w:rsidR="009A406F" w:rsidRPr="00424089" w:rsidRDefault="009A406F" w:rsidP="009A406F">
      <w:pPr>
        <w:spacing w:after="0"/>
        <w:rPr>
          <w:b/>
          <w:bCs/>
          <w:color w:val="C45911" w:themeColor="accent2" w:themeShade="BF"/>
          <w:sz w:val="24"/>
          <w:szCs w:val="24"/>
          <w:lang w:val="fr-CA"/>
        </w:rPr>
      </w:pPr>
      <w:r w:rsidRPr="00424089">
        <w:rPr>
          <w:b/>
          <w:bCs/>
          <w:color w:val="C45911" w:themeColor="accent2" w:themeShade="BF"/>
          <w:sz w:val="24"/>
          <w:szCs w:val="24"/>
          <w:lang w:val="fr-CA"/>
        </w:rPr>
        <w:t xml:space="preserve">Politique de qualité / Déclaration :  </w:t>
      </w:r>
    </w:p>
    <w:p w14:paraId="2C245605" w14:textId="77777777" w:rsidR="009A406F" w:rsidRPr="008D3D39" w:rsidRDefault="009A406F" w:rsidP="009A406F">
      <w:pPr>
        <w:pStyle w:val="Paragraphedeliste"/>
        <w:spacing w:after="0"/>
        <w:ind w:left="0"/>
        <w:rPr>
          <w:lang w:val="fr-FR"/>
        </w:rPr>
      </w:pPr>
      <w:r w:rsidRPr="008D3D39">
        <w:rPr>
          <w:lang w:val="fr-FR"/>
        </w:rPr>
        <w:t>Quadra s'engage à fournir des produits et des services de qualité pour l'entière satisfaction de ses clients et de ses fournisseurs. Nous nous efforcerons de fournir des produits et des services compétitifs qui répondent ou dépassent les besoins et les attentes de nos clients, dans les délais impartis, tout le temps et toujours à la satisfaction du client. Le respect des lois et réglementations en vigueur fait partie intégrante de nos programmes.</w:t>
      </w:r>
    </w:p>
    <w:p w14:paraId="0904CEF8" w14:textId="77777777" w:rsidR="009A406F" w:rsidRPr="003855CB" w:rsidRDefault="009A406F" w:rsidP="009A406F">
      <w:pPr>
        <w:pStyle w:val="Paragraphedeliste"/>
        <w:spacing w:after="0"/>
        <w:rPr>
          <w:sz w:val="10"/>
          <w:szCs w:val="10"/>
          <w:lang w:val="fr-FR"/>
        </w:rPr>
      </w:pPr>
    </w:p>
    <w:p w14:paraId="1884A8B5" w14:textId="77777777" w:rsidR="009A406F" w:rsidRPr="008D3D39" w:rsidRDefault="009A406F" w:rsidP="009A406F">
      <w:pPr>
        <w:pStyle w:val="Paragraphedeliste"/>
        <w:spacing w:after="0"/>
        <w:ind w:left="0"/>
        <w:rPr>
          <w:lang w:val="fr-FR"/>
        </w:rPr>
      </w:pPr>
      <w:r w:rsidRPr="008D3D39">
        <w:rPr>
          <w:lang w:val="fr-FR"/>
        </w:rPr>
        <w:t xml:space="preserve">Nous favorisons une culture de la créativité, de la résolution des problèmes, des améliorations progressives et des mesures proactives par le biais de l'appropriation et de la responsabilité, qui permet à nos employés de contribuer au succès de notre entreprise. C'est cette culture de l'innovation et de la responsabilité qui permet de garantir que notre système de gestion de la qualité s'améliore en permanence et fournit à nos clients un service et des résultats de premier ordre. </w:t>
      </w:r>
    </w:p>
    <w:p w14:paraId="3448EC77" w14:textId="77777777" w:rsidR="009A406F" w:rsidRPr="003855CB" w:rsidRDefault="009A406F" w:rsidP="009A406F">
      <w:pPr>
        <w:pStyle w:val="Paragraphedeliste"/>
        <w:spacing w:after="0"/>
        <w:ind w:left="0"/>
        <w:rPr>
          <w:sz w:val="10"/>
          <w:szCs w:val="10"/>
          <w:lang w:val="fr-FR"/>
        </w:rPr>
      </w:pPr>
    </w:p>
    <w:p w14:paraId="6CA45A5C" w14:textId="77777777" w:rsidR="009A406F" w:rsidRPr="00237692" w:rsidRDefault="009A406F" w:rsidP="009A406F">
      <w:pPr>
        <w:spacing w:after="0"/>
        <w:rPr>
          <w:b/>
          <w:bCs/>
          <w:color w:val="C45911" w:themeColor="accent2" w:themeShade="BF"/>
          <w:sz w:val="24"/>
          <w:szCs w:val="24"/>
          <w:lang w:val="fr-FR"/>
        </w:rPr>
      </w:pPr>
      <w:r w:rsidRPr="00237692">
        <w:rPr>
          <w:b/>
          <w:bCs/>
          <w:color w:val="C45911" w:themeColor="accent2" w:themeShade="BF"/>
          <w:sz w:val="24"/>
          <w:szCs w:val="24"/>
          <w:lang w:val="fr-FR"/>
        </w:rPr>
        <w:t xml:space="preserve">Description de l'entreprise : </w:t>
      </w:r>
    </w:p>
    <w:p w14:paraId="782B600C" w14:textId="77777777" w:rsidR="009A406F" w:rsidRPr="008D3D39" w:rsidRDefault="009A406F" w:rsidP="009A406F">
      <w:pPr>
        <w:pStyle w:val="Paragraphedeliste"/>
        <w:spacing w:after="0"/>
        <w:ind w:left="0"/>
        <w:rPr>
          <w:lang w:val="fr-FR"/>
        </w:rPr>
      </w:pPr>
      <w:r w:rsidRPr="00FA22D1">
        <w:rPr>
          <w:lang w:val="fr-FR"/>
        </w:rPr>
        <w:t>Quadra Chemicals est une entreprise multisite dotée de capacités de mélange, de reconditionnement, d’entreposage et de distribution dans l’industrie chimique et alimentaire.</w:t>
      </w:r>
    </w:p>
    <w:p w14:paraId="3310AA77" w14:textId="77777777" w:rsidR="009A406F" w:rsidRPr="003855CB" w:rsidRDefault="009A406F" w:rsidP="009A406F">
      <w:pPr>
        <w:pStyle w:val="Paragraphedeliste"/>
        <w:spacing w:after="0"/>
        <w:rPr>
          <w:sz w:val="10"/>
          <w:szCs w:val="10"/>
          <w:lang w:val="fr-FR"/>
        </w:rPr>
      </w:pPr>
    </w:p>
    <w:p w14:paraId="216865AF" w14:textId="77777777" w:rsidR="009A406F" w:rsidRPr="008D3D39" w:rsidRDefault="009A406F" w:rsidP="009A406F">
      <w:pPr>
        <w:pStyle w:val="Paragraphedeliste"/>
        <w:spacing w:after="0"/>
        <w:ind w:left="0"/>
        <w:rPr>
          <w:lang w:val="fr-FR"/>
        </w:rPr>
      </w:pPr>
      <w:r w:rsidRPr="008D3D39">
        <w:rPr>
          <w:lang w:val="fr-FR"/>
        </w:rPr>
        <w:t>L'ensemble de nos activités doit toujours être mené de manière à prendre en compte les éléments suivants :</w:t>
      </w:r>
    </w:p>
    <w:p w14:paraId="3D11A4DE" w14:textId="77777777" w:rsidR="009A406F" w:rsidRPr="00BF54A3" w:rsidRDefault="009A406F" w:rsidP="009A406F">
      <w:pPr>
        <w:pStyle w:val="Paragraphedeliste"/>
        <w:numPr>
          <w:ilvl w:val="0"/>
          <w:numId w:val="2"/>
        </w:numPr>
        <w:spacing w:after="0"/>
        <w:rPr>
          <w:lang w:val="fr-FR"/>
        </w:rPr>
      </w:pPr>
      <w:proofErr w:type="gramStart"/>
      <w:r w:rsidRPr="00BF54A3">
        <w:rPr>
          <w:lang w:val="fr-FR"/>
        </w:rPr>
        <w:t>l'environnement</w:t>
      </w:r>
      <w:proofErr w:type="gramEnd"/>
      <w:r w:rsidRPr="00BF54A3">
        <w:rPr>
          <w:lang w:val="fr-FR"/>
        </w:rPr>
        <w:t>, la santé et la sécurité</w:t>
      </w:r>
    </w:p>
    <w:p w14:paraId="68EEBEA0" w14:textId="77777777" w:rsidR="009A406F" w:rsidRPr="00BF54A3" w:rsidRDefault="009A406F" w:rsidP="009A406F">
      <w:pPr>
        <w:pStyle w:val="Paragraphedeliste"/>
        <w:numPr>
          <w:ilvl w:val="0"/>
          <w:numId w:val="2"/>
        </w:numPr>
        <w:spacing w:after="0"/>
      </w:pPr>
      <w:proofErr w:type="spellStart"/>
      <w:r w:rsidRPr="00BF54A3">
        <w:t>Sécurité</w:t>
      </w:r>
      <w:proofErr w:type="spellEnd"/>
      <w:r w:rsidRPr="00BF54A3">
        <w:t xml:space="preserve"> des </w:t>
      </w:r>
      <w:proofErr w:type="spellStart"/>
      <w:r w:rsidRPr="00BF54A3">
        <w:t>ingrédients</w:t>
      </w:r>
      <w:proofErr w:type="spellEnd"/>
    </w:p>
    <w:p w14:paraId="2A13E222" w14:textId="77777777" w:rsidR="009A406F" w:rsidRPr="00BF54A3" w:rsidRDefault="009A406F" w:rsidP="009A406F">
      <w:pPr>
        <w:pStyle w:val="Paragraphedeliste"/>
        <w:numPr>
          <w:ilvl w:val="0"/>
          <w:numId w:val="2"/>
        </w:numPr>
        <w:spacing w:after="0"/>
        <w:rPr>
          <w:lang w:val="fr-FR"/>
        </w:rPr>
      </w:pPr>
      <w:r w:rsidRPr="00BF54A3">
        <w:rPr>
          <w:lang w:val="fr-FR"/>
        </w:rPr>
        <w:t>Respect des lois et réglementations en vigueur</w:t>
      </w:r>
    </w:p>
    <w:p w14:paraId="57D6FC4E" w14:textId="77777777" w:rsidR="009A406F" w:rsidRPr="00BF54A3" w:rsidRDefault="009A406F" w:rsidP="009A406F">
      <w:pPr>
        <w:pStyle w:val="Paragraphedeliste"/>
        <w:numPr>
          <w:ilvl w:val="0"/>
          <w:numId w:val="2"/>
        </w:numPr>
        <w:spacing w:after="0"/>
        <w:rPr>
          <w:lang w:val="fr-FR"/>
        </w:rPr>
      </w:pPr>
      <w:r w:rsidRPr="00BF54A3">
        <w:rPr>
          <w:lang w:val="fr-FR"/>
        </w:rPr>
        <w:t>Adoption de diverses certifications/programmes qui apportent une valeur ajoutée.</w:t>
      </w:r>
    </w:p>
    <w:p w14:paraId="6D9A20E3" w14:textId="77777777" w:rsidR="009A406F" w:rsidRPr="00BF54A3" w:rsidRDefault="009A406F" w:rsidP="009A406F">
      <w:pPr>
        <w:pStyle w:val="Paragraphedeliste"/>
        <w:numPr>
          <w:ilvl w:val="0"/>
          <w:numId w:val="2"/>
        </w:numPr>
        <w:spacing w:after="0"/>
      </w:pPr>
      <w:proofErr w:type="spellStart"/>
      <w:r w:rsidRPr="00BF54A3">
        <w:t>Améliorations</w:t>
      </w:r>
      <w:proofErr w:type="spellEnd"/>
      <w:r w:rsidRPr="00BF54A3">
        <w:t xml:space="preserve"> </w:t>
      </w:r>
      <w:proofErr w:type="gramStart"/>
      <w:r w:rsidRPr="00BF54A3">
        <w:t>continues</w:t>
      </w:r>
      <w:proofErr w:type="gramEnd"/>
    </w:p>
    <w:p w14:paraId="4CEC9B87" w14:textId="77777777" w:rsidR="009A406F" w:rsidRPr="003855CB" w:rsidRDefault="009A406F" w:rsidP="009A406F">
      <w:pPr>
        <w:spacing w:after="0"/>
        <w:rPr>
          <w:b/>
          <w:bCs/>
          <w:color w:val="C45911" w:themeColor="accent2" w:themeShade="BF"/>
          <w:sz w:val="12"/>
          <w:szCs w:val="12"/>
        </w:rPr>
      </w:pPr>
    </w:p>
    <w:p w14:paraId="2C1755A6" w14:textId="77777777" w:rsidR="009A406F" w:rsidRPr="00BF54A3" w:rsidRDefault="009A406F" w:rsidP="009A406F">
      <w:pPr>
        <w:spacing w:after="0"/>
        <w:rPr>
          <w:b/>
          <w:bCs/>
          <w:color w:val="C45911" w:themeColor="accent2" w:themeShade="BF"/>
          <w:sz w:val="24"/>
          <w:szCs w:val="24"/>
        </w:rPr>
      </w:pPr>
      <w:proofErr w:type="spellStart"/>
      <w:r w:rsidRPr="00BF54A3">
        <w:rPr>
          <w:b/>
          <w:bCs/>
          <w:color w:val="C45911" w:themeColor="accent2" w:themeShade="BF"/>
          <w:sz w:val="24"/>
          <w:szCs w:val="24"/>
        </w:rPr>
        <w:t>Objectifs</w:t>
      </w:r>
      <w:proofErr w:type="spellEnd"/>
      <w:r w:rsidRPr="00BF54A3">
        <w:rPr>
          <w:b/>
          <w:bCs/>
          <w:color w:val="C45911" w:themeColor="accent2" w:themeShade="BF"/>
          <w:sz w:val="24"/>
          <w:szCs w:val="24"/>
        </w:rPr>
        <w:t xml:space="preserve"> de </w:t>
      </w:r>
      <w:proofErr w:type="spellStart"/>
      <w:proofErr w:type="gramStart"/>
      <w:r w:rsidRPr="00BF54A3">
        <w:rPr>
          <w:b/>
          <w:bCs/>
          <w:color w:val="C45911" w:themeColor="accent2" w:themeShade="BF"/>
          <w:sz w:val="24"/>
          <w:szCs w:val="24"/>
        </w:rPr>
        <w:t>qualité</w:t>
      </w:r>
      <w:proofErr w:type="spellEnd"/>
      <w:r w:rsidRPr="00BF54A3">
        <w:rPr>
          <w:b/>
          <w:bCs/>
          <w:color w:val="C45911" w:themeColor="accent2" w:themeShade="BF"/>
          <w:sz w:val="24"/>
          <w:szCs w:val="24"/>
        </w:rPr>
        <w:t xml:space="preserve"> :</w:t>
      </w:r>
      <w:proofErr w:type="gramEnd"/>
    </w:p>
    <w:p w14:paraId="163D7F59" w14:textId="51556DEA" w:rsidR="009A406F" w:rsidRPr="00BF54A3" w:rsidRDefault="009A406F" w:rsidP="009A406F">
      <w:pPr>
        <w:pStyle w:val="Paragraphedeliste"/>
        <w:spacing w:after="0"/>
        <w:ind w:left="0"/>
        <w:rPr>
          <w:b/>
          <w:bCs/>
          <w:lang w:val="fr-FR"/>
        </w:rPr>
      </w:pPr>
      <w:r w:rsidRPr="00BF54A3">
        <w:rPr>
          <w:b/>
          <w:bCs/>
          <w:lang w:val="fr-FR"/>
        </w:rPr>
        <w:t xml:space="preserve">Atteindre </w:t>
      </w:r>
      <w:r w:rsidR="007B3B5E">
        <w:rPr>
          <w:b/>
          <w:bCs/>
          <w:lang w:val="fr-FR"/>
        </w:rPr>
        <w:t xml:space="preserve">et maintenir </w:t>
      </w:r>
      <w:r w:rsidRPr="00BF54A3">
        <w:rPr>
          <w:b/>
          <w:bCs/>
          <w:lang w:val="fr-FR"/>
        </w:rPr>
        <w:t>un niveau de service</w:t>
      </w:r>
      <w:r w:rsidR="007B3B5E">
        <w:rPr>
          <w:b/>
          <w:bCs/>
          <w:lang w:val="fr-FR"/>
        </w:rPr>
        <w:t xml:space="preserve"> supérieur</w:t>
      </w:r>
      <w:r w:rsidRPr="00BF54A3">
        <w:rPr>
          <w:b/>
          <w:bCs/>
          <w:lang w:val="fr-FR"/>
        </w:rPr>
        <w:t xml:space="preserve"> </w:t>
      </w:r>
    </w:p>
    <w:p w14:paraId="504B3C18" w14:textId="592A8A03" w:rsidR="009A406F" w:rsidRPr="00911098" w:rsidRDefault="009A406F" w:rsidP="009A406F">
      <w:pPr>
        <w:pStyle w:val="Paragraphedeliste"/>
        <w:spacing w:after="0"/>
        <w:ind w:left="0"/>
        <w:rPr>
          <w:lang w:val="fr-FR"/>
        </w:rPr>
      </w:pPr>
      <w:r w:rsidRPr="00911098">
        <w:rPr>
          <w:lang w:val="fr-FR"/>
        </w:rPr>
        <w:t>Discussions du forum du Conseil de la qualité réalisées en examinant les statistiques de suivi des performances et en enregistrant formellement les niveaux de service. Évaluation des possibilités d'amélioration pour atteindre cet objectif.</w:t>
      </w:r>
    </w:p>
    <w:p w14:paraId="714D387C" w14:textId="77777777" w:rsidR="009A406F" w:rsidRPr="003855CB" w:rsidRDefault="009A406F" w:rsidP="009A406F">
      <w:pPr>
        <w:pStyle w:val="Paragraphedeliste"/>
        <w:spacing w:after="0"/>
        <w:rPr>
          <w:sz w:val="10"/>
          <w:szCs w:val="10"/>
          <w:lang w:val="fr-FR"/>
        </w:rPr>
      </w:pPr>
    </w:p>
    <w:p w14:paraId="3A7CF019" w14:textId="1F3859BC" w:rsidR="009A406F" w:rsidRPr="00FE4B04" w:rsidRDefault="009A406F" w:rsidP="009A406F">
      <w:pPr>
        <w:pStyle w:val="Paragraphedeliste"/>
        <w:spacing w:after="0"/>
        <w:ind w:left="0"/>
        <w:rPr>
          <w:b/>
          <w:bCs/>
          <w:lang w:val="fr-FR"/>
        </w:rPr>
      </w:pPr>
      <w:r w:rsidRPr="00FE4B04">
        <w:rPr>
          <w:b/>
          <w:bCs/>
          <w:lang w:val="fr-FR"/>
        </w:rPr>
        <w:t xml:space="preserve">Composantes de la réalisation d'un niveau de service </w:t>
      </w:r>
      <w:r w:rsidR="007B3B5E">
        <w:rPr>
          <w:b/>
          <w:bCs/>
          <w:lang w:val="fr-FR"/>
        </w:rPr>
        <w:t xml:space="preserve">supérieur </w:t>
      </w:r>
    </w:p>
    <w:p w14:paraId="6613BD15" w14:textId="77777777" w:rsidR="009A406F" w:rsidRPr="00FE4B04" w:rsidRDefault="009A406F" w:rsidP="009A406F">
      <w:pPr>
        <w:pStyle w:val="Paragraphedeliste"/>
        <w:numPr>
          <w:ilvl w:val="0"/>
          <w:numId w:val="3"/>
        </w:numPr>
        <w:spacing w:after="0"/>
        <w:rPr>
          <w:lang w:val="fr-FR"/>
        </w:rPr>
      </w:pPr>
      <w:r w:rsidRPr="00FE4B04">
        <w:rPr>
          <w:lang w:val="fr-FR"/>
        </w:rPr>
        <w:t>Les besoins et les attentes peuvent concerner le service, la qualité, le prix, les exigences particulières.</w:t>
      </w:r>
    </w:p>
    <w:p w14:paraId="0B522F73" w14:textId="77777777" w:rsidR="009A406F" w:rsidRPr="00FE4B04" w:rsidRDefault="009A406F" w:rsidP="009A406F">
      <w:pPr>
        <w:pStyle w:val="Paragraphedeliste"/>
        <w:numPr>
          <w:ilvl w:val="0"/>
          <w:numId w:val="3"/>
        </w:numPr>
        <w:spacing w:after="0"/>
        <w:rPr>
          <w:lang w:val="fr-FR"/>
        </w:rPr>
      </w:pPr>
      <w:r w:rsidRPr="00FE4B04">
        <w:rPr>
          <w:lang w:val="fr-FR"/>
        </w:rPr>
        <w:t>Actions préventives et contrôles pour répondre aux besoins de nos clients.</w:t>
      </w:r>
    </w:p>
    <w:p w14:paraId="3284FC59" w14:textId="77777777" w:rsidR="009A406F" w:rsidRDefault="009A406F" w:rsidP="009A406F">
      <w:pPr>
        <w:pStyle w:val="Paragraphedeliste"/>
        <w:numPr>
          <w:ilvl w:val="0"/>
          <w:numId w:val="3"/>
        </w:numPr>
        <w:spacing w:after="0"/>
        <w:rPr>
          <w:lang w:val="fr-FR"/>
        </w:rPr>
      </w:pPr>
      <w:r w:rsidRPr="00FE4B04">
        <w:rPr>
          <w:lang w:val="fr-FR"/>
        </w:rPr>
        <w:t>Une communication ouverte avec nos partenaires pour communiquer nos attentes, mesurer les composantes du service et évaluer les possibilités d'amélioration.</w:t>
      </w:r>
    </w:p>
    <w:p w14:paraId="312A2CCF" w14:textId="77777777" w:rsidR="009A406F" w:rsidRDefault="009A406F" w:rsidP="009A406F">
      <w:pPr>
        <w:pStyle w:val="Paragraphedeliste"/>
        <w:numPr>
          <w:ilvl w:val="0"/>
          <w:numId w:val="3"/>
        </w:numPr>
        <w:spacing w:after="0"/>
        <w:rPr>
          <w:lang w:val="fr-FR"/>
        </w:rPr>
      </w:pPr>
      <w:r w:rsidRPr="00AC5138">
        <w:rPr>
          <w:lang w:val="fr-FR"/>
        </w:rPr>
        <w:t>Examen continu du système de qualité afin de déterminer son efficacité et d'identifier les possibilités d'amélioration, les outils, les processus, les besoins de formation.</w:t>
      </w:r>
    </w:p>
    <w:p w14:paraId="621EB17C" w14:textId="77777777" w:rsidR="009A406F" w:rsidRDefault="009A406F" w:rsidP="009A406F">
      <w:pPr>
        <w:pStyle w:val="Paragraphedeliste"/>
        <w:numPr>
          <w:ilvl w:val="0"/>
          <w:numId w:val="3"/>
        </w:numPr>
        <w:spacing w:after="0"/>
        <w:rPr>
          <w:lang w:val="fr-FR"/>
        </w:rPr>
      </w:pPr>
      <w:r w:rsidRPr="00AC5138">
        <w:rPr>
          <w:lang w:val="fr-FR"/>
        </w:rPr>
        <w:t>Conformité aux pratiques en matière de sécurité des ingrédients</w:t>
      </w:r>
    </w:p>
    <w:p w14:paraId="644047C7" w14:textId="77777777" w:rsidR="009A406F" w:rsidRDefault="009A406F" w:rsidP="009A406F">
      <w:pPr>
        <w:pStyle w:val="Paragraphedeliste"/>
        <w:numPr>
          <w:ilvl w:val="0"/>
          <w:numId w:val="3"/>
        </w:numPr>
        <w:spacing w:after="0"/>
        <w:rPr>
          <w:lang w:val="fr-FR"/>
        </w:rPr>
      </w:pPr>
      <w:r w:rsidRPr="002F49A0">
        <w:rPr>
          <w:lang w:val="fr-FR"/>
        </w:rPr>
        <w:t>Formation et développement continus de tous les employés :</w:t>
      </w:r>
    </w:p>
    <w:p w14:paraId="76755D0F" w14:textId="77777777" w:rsidR="009A406F" w:rsidRPr="003855CB" w:rsidRDefault="009A406F" w:rsidP="009A406F">
      <w:pPr>
        <w:pStyle w:val="Paragraphedeliste"/>
        <w:spacing w:after="0"/>
        <w:rPr>
          <w:sz w:val="12"/>
          <w:szCs w:val="12"/>
          <w:lang w:val="fr-FR"/>
        </w:rPr>
      </w:pPr>
    </w:p>
    <w:p w14:paraId="0F8000CA" w14:textId="77777777" w:rsidR="009A406F" w:rsidRPr="00237692" w:rsidRDefault="009A406F" w:rsidP="009A406F">
      <w:pPr>
        <w:spacing w:after="0"/>
        <w:rPr>
          <w:b/>
          <w:bCs/>
          <w:color w:val="C45911" w:themeColor="accent2" w:themeShade="BF"/>
          <w:sz w:val="24"/>
          <w:szCs w:val="24"/>
          <w:lang w:val="fr-FR"/>
        </w:rPr>
      </w:pPr>
      <w:r w:rsidRPr="00237692">
        <w:rPr>
          <w:b/>
          <w:bCs/>
          <w:color w:val="C45911" w:themeColor="accent2" w:themeShade="BF"/>
          <w:sz w:val="24"/>
          <w:szCs w:val="24"/>
          <w:lang w:val="fr-FR"/>
        </w:rPr>
        <w:t xml:space="preserve">Systèmes/normes de qualité : </w:t>
      </w:r>
    </w:p>
    <w:p w14:paraId="3CAAEE12" w14:textId="77777777" w:rsidR="009A406F" w:rsidRPr="00BF54A3" w:rsidRDefault="009A406F" w:rsidP="009A406F">
      <w:pPr>
        <w:pStyle w:val="Paragraphedeliste"/>
        <w:spacing w:after="0"/>
        <w:ind w:left="0"/>
        <w:rPr>
          <w:lang w:val="fr-FR"/>
        </w:rPr>
      </w:pPr>
      <w:r w:rsidRPr="00BF54A3">
        <w:rPr>
          <w:lang w:val="fr-FR"/>
        </w:rPr>
        <w:lastRenderedPageBreak/>
        <w:t xml:space="preserve">Divers programmes et procédures sont en place pour atteindre les objectifs de qualité, y compris, mais sans s'y limiter, les suivants :   </w:t>
      </w:r>
    </w:p>
    <w:p w14:paraId="047BF438" w14:textId="77777777" w:rsidR="009A406F" w:rsidRPr="00BF54A3" w:rsidRDefault="009A406F" w:rsidP="009A406F">
      <w:pPr>
        <w:pStyle w:val="Paragraphedeliste"/>
        <w:numPr>
          <w:ilvl w:val="0"/>
          <w:numId w:val="1"/>
        </w:numPr>
        <w:spacing w:after="0"/>
        <w:rPr>
          <w:lang w:val="fr-FR"/>
        </w:rPr>
      </w:pPr>
      <w:r w:rsidRPr="00BF54A3">
        <w:rPr>
          <w:lang w:val="fr-FR"/>
        </w:rPr>
        <w:t xml:space="preserve"> </w:t>
      </w:r>
      <w:proofErr w:type="spellStart"/>
      <w:r w:rsidRPr="00AC5138">
        <w:rPr>
          <w:b/>
          <w:bCs/>
          <w:i/>
          <w:iCs/>
        </w:rPr>
        <w:t>Diverses</w:t>
      </w:r>
      <w:proofErr w:type="spellEnd"/>
      <w:r w:rsidRPr="00AC5138">
        <w:rPr>
          <w:b/>
          <w:bCs/>
          <w:i/>
          <w:iCs/>
        </w:rPr>
        <w:t xml:space="preserve"> certifications, </w:t>
      </w:r>
      <w:proofErr w:type="spellStart"/>
      <w:r w:rsidRPr="00AC5138">
        <w:rPr>
          <w:b/>
          <w:bCs/>
          <w:i/>
          <w:iCs/>
        </w:rPr>
        <w:t>notamment</w:t>
      </w:r>
      <w:proofErr w:type="spellEnd"/>
      <w:r w:rsidRPr="00BF54A3">
        <w:rPr>
          <w:lang w:val="fr-FR"/>
        </w:rPr>
        <w:t xml:space="preserve"> </w:t>
      </w:r>
    </w:p>
    <w:p w14:paraId="2254CD5B" w14:textId="77777777" w:rsidR="009A406F" w:rsidRPr="00AC5138" w:rsidRDefault="009A406F" w:rsidP="009A406F">
      <w:pPr>
        <w:pStyle w:val="Paragraphedeliste"/>
        <w:numPr>
          <w:ilvl w:val="0"/>
          <w:numId w:val="4"/>
        </w:numPr>
        <w:spacing w:after="0"/>
      </w:pPr>
      <w:r w:rsidRPr="00AC5138">
        <w:t>Certification ISO (</w:t>
      </w:r>
      <w:proofErr w:type="spellStart"/>
      <w:r w:rsidRPr="00AC5138">
        <w:t>qualité</w:t>
      </w:r>
      <w:proofErr w:type="spellEnd"/>
      <w:r w:rsidRPr="00AC5138">
        <w:t>)</w:t>
      </w:r>
    </w:p>
    <w:p w14:paraId="2A56DAB3" w14:textId="77777777" w:rsidR="009A406F" w:rsidRPr="00AC5138" w:rsidRDefault="009A406F" w:rsidP="009A406F">
      <w:pPr>
        <w:pStyle w:val="Paragraphedeliste"/>
        <w:numPr>
          <w:ilvl w:val="0"/>
          <w:numId w:val="4"/>
        </w:numPr>
        <w:spacing w:after="0"/>
        <w:rPr>
          <w:lang w:val="fr-FR"/>
        </w:rPr>
      </w:pPr>
      <w:r w:rsidRPr="00AC5138">
        <w:rPr>
          <w:lang w:val="fr-FR"/>
        </w:rPr>
        <w:t>Code de pratique de la distribution responsable (environnement, santé et sécurité)</w:t>
      </w:r>
    </w:p>
    <w:p w14:paraId="6110D92C" w14:textId="77777777" w:rsidR="009A406F" w:rsidRPr="00AC5138" w:rsidRDefault="009A406F" w:rsidP="009A406F">
      <w:pPr>
        <w:pStyle w:val="Paragraphedeliste"/>
        <w:numPr>
          <w:ilvl w:val="0"/>
          <w:numId w:val="4"/>
        </w:numPr>
        <w:spacing w:after="0"/>
        <w:rPr>
          <w:lang w:val="fr-FR"/>
        </w:rPr>
      </w:pPr>
      <w:r w:rsidRPr="00AC5138">
        <w:rPr>
          <w:lang w:val="fr-FR"/>
        </w:rPr>
        <w:t>Certificat de reconnaissance (COR) (Alberta uniquement)</w:t>
      </w:r>
    </w:p>
    <w:p w14:paraId="5E684626" w14:textId="77777777" w:rsidR="009A406F" w:rsidRPr="00AC5138" w:rsidRDefault="009A406F" w:rsidP="009A406F">
      <w:pPr>
        <w:pStyle w:val="Paragraphedeliste"/>
        <w:numPr>
          <w:ilvl w:val="0"/>
          <w:numId w:val="4"/>
        </w:numPr>
        <w:spacing w:after="0"/>
        <w:rPr>
          <w:lang w:val="fr-FR"/>
        </w:rPr>
      </w:pPr>
      <w:r w:rsidRPr="00AC5138">
        <w:rPr>
          <w:lang w:val="fr-FR"/>
        </w:rPr>
        <w:t>Bonnes pratiques de distribution (sécurité des aliments et des ingrédients pharmaceutiques)</w:t>
      </w:r>
    </w:p>
    <w:p w14:paraId="07F13688" w14:textId="77777777" w:rsidR="009A406F" w:rsidRPr="00AC5138" w:rsidRDefault="009A406F" w:rsidP="009A406F">
      <w:pPr>
        <w:pStyle w:val="Paragraphedeliste"/>
        <w:numPr>
          <w:ilvl w:val="0"/>
          <w:numId w:val="4"/>
        </w:numPr>
        <w:spacing w:after="0"/>
        <w:rPr>
          <w:lang w:val="fr-FR"/>
        </w:rPr>
      </w:pPr>
      <w:r w:rsidRPr="00AC5138">
        <w:rPr>
          <w:lang w:val="fr-FR"/>
        </w:rPr>
        <w:t>DEL/GMP pour la licence d'établissement de médicaments et les bonnes pratiques de fabrication pour les ingrédients pharmaceutiques actifs (IPA)</w:t>
      </w:r>
    </w:p>
    <w:p w14:paraId="4BC5A3E5" w14:textId="77777777" w:rsidR="009A406F" w:rsidRPr="00AC5138" w:rsidRDefault="009A406F" w:rsidP="009A406F">
      <w:pPr>
        <w:pStyle w:val="Paragraphedeliste"/>
        <w:numPr>
          <w:ilvl w:val="0"/>
          <w:numId w:val="4"/>
        </w:numPr>
        <w:spacing w:after="0"/>
        <w:rPr>
          <w:lang w:val="fr-FR"/>
        </w:rPr>
      </w:pPr>
      <w:r w:rsidRPr="00AC5138">
        <w:rPr>
          <w:lang w:val="fr-FR"/>
        </w:rPr>
        <w:t>Certification "sans gluten</w:t>
      </w:r>
    </w:p>
    <w:p w14:paraId="782D73A3" w14:textId="77777777" w:rsidR="009A406F" w:rsidRPr="00AC5138" w:rsidRDefault="009A406F" w:rsidP="009A406F">
      <w:pPr>
        <w:pStyle w:val="Paragraphedeliste"/>
        <w:numPr>
          <w:ilvl w:val="0"/>
          <w:numId w:val="4"/>
        </w:numPr>
        <w:spacing w:after="0"/>
        <w:rPr>
          <w:lang w:val="fr-FR"/>
        </w:rPr>
      </w:pPr>
      <w:r w:rsidRPr="00AC5138">
        <w:rPr>
          <w:lang w:val="fr-FR"/>
        </w:rPr>
        <w:t>BRCGS (norme mondiale de conformité à la reconnaissance de la marque)</w:t>
      </w:r>
    </w:p>
    <w:p w14:paraId="02BA2031" w14:textId="77777777" w:rsidR="009A406F" w:rsidRPr="00AC5138" w:rsidRDefault="009A406F" w:rsidP="009A406F">
      <w:pPr>
        <w:pStyle w:val="Paragraphedeliste"/>
        <w:numPr>
          <w:ilvl w:val="0"/>
          <w:numId w:val="4"/>
        </w:numPr>
        <w:spacing w:after="0"/>
        <w:rPr>
          <w:lang w:val="fr-FR"/>
        </w:rPr>
      </w:pPr>
      <w:r w:rsidRPr="00AC5138">
        <w:rPr>
          <w:lang w:val="fr-FR"/>
        </w:rPr>
        <w:t xml:space="preserve">Adhésion à </w:t>
      </w:r>
      <w:proofErr w:type="spellStart"/>
      <w:r w:rsidRPr="00AC5138">
        <w:rPr>
          <w:lang w:val="fr-FR"/>
        </w:rPr>
        <w:t>Partners</w:t>
      </w:r>
      <w:proofErr w:type="spellEnd"/>
      <w:r w:rsidRPr="00AC5138">
        <w:rPr>
          <w:lang w:val="fr-FR"/>
        </w:rPr>
        <w:t xml:space="preserve"> in Protection (PIP) (sécurité alimentaire)</w:t>
      </w:r>
    </w:p>
    <w:p w14:paraId="3971A189" w14:textId="77777777" w:rsidR="009A406F" w:rsidRDefault="009A406F" w:rsidP="009A406F">
      <w:pPr>
        <w:pStyle w:val="Paragraphedeliste"/>
        <w:numPr>
          <w:ilvl w:val="0"/>
          <w:numId w:val="4"/>
        </w:numPr>
        <w:spacing w:after="0"/>
        <w:rPr>
          <w:lang w:val="fr-FR"/>
        </w:rPr>
      </w:pPr>
      <w:r w:rsidRPr="00AC5138">
        <w:rPr>
          <w:lang w:val="fr-FR"/>
        </w:rPr>
        <w:t>Enregistrements et licences de la FDA et de l'ACIA</w:t>
      </w:r>
    </w:p>
    <w:p w14:paraId="32D9ACA3" w14:textId="67E02DAF" w:rsidR="007B3B5E" w:rsidRDefault="007B3B5E" w:rsidP="009A406F">
      <w:pPr>
        <w:pStyle w:val="Paragraphedeliste"/>
        <w:numPr>
          <w:ilvl w:val="0"/>
          <w:numId w:val="4"/>
        </w:numPr>
        <w:spacing w:after="0"/>
        <w:rPr>
          <w:lang w:val="fr-FR"/>
        </w:rPr>
      </w:pPr>
      <w:r>
        <w:rPr>
          <w:lang w:val="fr-FR"/>
        </w:rPr>
        <w:t>Certification Biologique (CCOF)</w:t>
      </w:r>
    </w:p>
    <w:p w14:paraId="574EE547" w14:textId="77777777" w:rsidR="009A406F" w:rsidRPr="003C5A31" w:rsidRDefault="009A406F" w:rsidP="009A406F">
      <w:pPr>
        <w:pStyle w:val="Paragraphedeliste"/>
        <w:numPr>
          <w:ilvl w:val="0"/>
          <w:numId w:val="1"/>
        </w:numPr>
        <w:spacing w:after="0"/>
        <w:rPr>
          <w:lang w:val="fr-FR"/>
        </w:rPr>
      </w:pPr>
      <w:r w:rsidRPr="003C5A31">
        <w:rPr>
          <w:lang w:val="fr-FR"/>
        </w:rPr>
        <w:t>Normes et procédures en matière de systèmes de gestion de la qualité (champ d'application)</w:t>
      </w:r>
    </w:p>
    <w:p w14:paraId="08BEC3D7" w14:textId="77777777" w:rsidR="009A406F" w:rsidRPr="003C5A31" w:rsidRDefault="009A406F" w:rsidP="009A406F">
      <w:pPr>
        <w:pStyle w:val="Paragraphedeliste"/>
        <w:numPr>
          <w:ilvl w:val="1"/>
          <w:numId w:val="1"/>
        </w:numPr>
        <w:spacing w:after="0"/>
        <w:rPr>
          <w:lang w:val="fr-FR"/>
        </w:rPr>
      </w:pPr>
      <w:r w:rsidRPr="003C5A31">
        <w:rPr>
          <w:lang w:val="fr-FR"/>
        </w:rPr>
        <w:t>Systèmes de réclamation - Actions correctives et préventives (CAPA), déviations</w:t>
      </w:r>
    </w:p>
    <w:p w14:paraId="196BC9ED" w14:textId="77777777" w:rsidR="009A406F" w:rsidRPr="003C5A31" w:rsidRDefault="009A406F" w:rsidP="009A406F">
      <w:pPr>
        <w:pStyle w:val="Paragraphedeliste"/>
        <w:numPr>
          <w:ilvl w:val="1"/>
          <w:numId w:val="1"/>
        </w:numPr>
        <w:spacing w:after="0"/>
        <w:rPr>
          <w:lang w:val="fr-FR"/>
        </w:rPr>
      </w:pPr>
      <w:r w:rsidRPr="003C5A31">
        <w:rPr>
          <w:lang w:val="fr-FR"/>
        </w:rPr>
        <w:t>Gestion du changement</w:t>
      </w:r>
    </w:p>
    <w:p w14:paraId="572E5320" w14:textId="77777777" w:rsidR="009A406F" w:rsidRPr="003C5A31" w:rsidRDefault="009A406F" w:rsidP="009A406F">
      <w:pPr>
        <w:pStyle w:val="Paragraphedeliste"/>
        <w:numPr>
          <w:ilvl w:val="1"/>
          <w:numId w:val="1"/>
        </w:numPr>
        <w:spacing w:after="0"/>
        <w:rPr>
          <w:lang w:val="fr-FR"/>
        </w:rPr>
      </w:pPr>
      <w:r w:rsidRPr="003C5A31">
        <w:rPr>
          <w:lang w:val="fr-FR"/>
        </w:rPr>
        <w:t>Gestion des risques</w:t>
      </w:r>
    </w:p>
    <w:p w14:paraId="2737DE26" w14:textId="77777777" w:rsidR="009A406F" w:rsidRPr="003C5A31" w:rsidRDefault="009A406F" w:rsidP="009A406F">
      <w:pPr>
        <w:pStyle w:val="Paragraphedeliste"/>
        <w:numPr>
          <w:ilvl w:val="1"/>
          <w:numId w:val="1"/>
        </w:numPr>
        <w:spacing w:after="0"/>
        <w:rPr>
          <w:lang w:val="fr-FR"/>
        </w:rPr>
      </w:pPr>
      <w:r w:rsidRPr="003C5A31">
        <w:rPr>
          <w:lang w:val="fr-FR"/>
        </w:rPr>
        <w:t>Revues de direction</w:t>
      </w:r>
    </w:p>
    <w:p w14:paraId="25522462" w14:textId="77777777" w:rsidR="009A406F" w:rsidRPr="003C5A31" w:rsidRDefault="009A406F" w:rsidP="009A406F">
      <w:pPr>
        <w:pStyle w:val="Paragraphedeliste"/>
        <w:numPr>
          <w:ilvl w:val="1"/>
          <w:numId w:val="1"/>
        </w:numPr>
        <w:spacing w:after="0"/>
        <w:rPr>
          <w:lang w:val="fr-FR"/>
        </w:rPr>
      </w:pPr>
      <w:r w:rsidRPr="003C5A31">
        <w:rPr>
          <w:lang w:val="fr-FR"/>
        </w:rPr>
        <w:t>Principes HACCP (sécurité alimentaire)</w:t>
      </w:r>
    </w:p>
    <w:p w14:paraId="5B4A8F81" w14:textId="77777777" w:rsidR="009A406F" w:rsidRPr="003C5A31" w:rsidRDefault="009A406F" w:rsidP="009A406F">
      <w:pPr>
        <w:pStyle w:val="Paragraphedeliste"/>
        <w:numPr>
          <w:ilvl w:val="1"/>
          <w:numId w:val="1"/>
        </w:numPr>
        <w:spacing w:after="0"/>
        <w:rPr>
          <w:lang w:val="fr-FR"/>
        </w:rPr>
      </w:pPr>
      <w:r w:rsidRPr="003C5A31">
        <w:rPr>
          <w:lang w:val="fr-FR"/>
        </w:rPr>
        <w:t>Gestion des rappels (avec tous les contrôles énumérés dans la présente déclaration)</w:t>
      </w:r>
    </w:p>
    <w:p w14:paraId="567021C7" w14:textId="77777777" w:rsidR="009A406F" w:rsidRPr="003C5A31" w:rsidRDefault="009A406F" w:rsidP="009A406F">
      <w:pPr>
        <w:pStyle w:val="Paragraphedeliste"/>
        <w:numPr>
          <w:ilvl w:val="1"/>
          <w:numId w:val="1"/>
        </w:numPr>
        <w:spacing w:after="0"/>
        <w:rPr>
          <w:lang w:val="fr-FR"/>
        </w:rPr>
      </w:pPr>
      <w:r w:rsidRPr="003C5A31">
        <w:rPr>
          <w:lang w:val="fr-FR"/>
        </w:rPr>
        <w:t xml:space="preserve">Exercices de traçabilité des produits </w:t>
      </w:r>
    </w:p>
    <w:p w14:paraId="26CCA7EF" w14:textId="77777777" w:rsidR="009A406F" w:rsidRPr="003C5A31" w:rsidRDefault="009A406F" w:rsidP="009A406F">
      <w:pPr>
        <w:pStyle w:val="Paragraphedeliste"/>
        <w:numPr>
          <w:ilvl w:val="1"/>
          <w:numId w:val="1"/>
        </w:numPr>
        <w:spacing w:after="0"/>
        <w:rPr>
          <w:lang w:val="fr-FR"/>
        </w:rPr>
      </w:pPr>
      <w:r w:rsidRPr="003C5A31">
        <w:rPr>
          <w:lang w:val="fr-FR"/>
        </w:rPr>
        <w:t>Programme de libération de la qualité (examen des ACO par rapport aux spécifications)</w:t>
      </w:r>
    </w:p>
    <w:p w14:paraId="14535118" w14:textId="77777777" w:rsidR="009A406F" w:rsidRPr="003C5A31" w:rsidRDefault="009A406F" w:rsidP="009A406F">
      <w:pPr>
        <w:pStyle w:val="Paragraphedeliste"/>
        <w:numPr>
          <w:ilvl w:val="1"/>
          <w:numId w:val="1"/>
        </w:numPr>
        <w:spacing w:after="0"/>
        <w:rPr>
          <w:lang w:val="fr-FR"/>
        </w:rPr>
      </w:pPr>
      <w:r w:rsidRPr="003C5A31">
        <w:rPr>
          <w:lang w:val="fr-FR"/>
        </w:rPr>
        <w:t xml:space="preserve">Programmes de qualification des fournisseurs </w:t>
      </w:r>
    </w:p>
    <w:p w14:paraId="5B5AD451" w14:textId="77777777" w:rsidR="009A406F" w:rsidRPr="003C5A31" w:rsidRDefault="009A406F" w:rsidP="009A406F">
      <w:pPr>
        <w:pStyle w:val="Paragraphedeliste"/>
        <w:numPr>
          <w:ilvl w:val="1"/>
          <w:numId w:val="1"/>
        </w:numPr>
        <w:spacing w:after="0"/>
        <w:rPr>
          <w:lang w:val="fr-FR"/>
        </w:rPr>
      </w:pPr>
      <w:r w:rsidRPr="003C5A31">
        <w:rPr>
          <w:lang w:val="fr-FR"/>
        </w:rPr>
        <w:t>Programme d'audit interne/externe</w:t>
      </w:r>
    </w:p>
    <w:p w14:paraId="46901605" w14:textId="77777777" w:rsidR="009A406F" w:rsidRPr="003C5A31" w:rsidRDefault="009A406F" w:rsidP="009A406F">
      <w:pPr>
        <w:pStyle w:val="Paragraphedeliste"/>
        <w:numPr>
          <w:ilvl w:val="1"/>
          <w:numId w:val="1"/>
        </w:numPr>
        <w:spacing w:after="0"/>
        <w:rPr>
          <w:lang w:val="fr-FR"/>
        </w:rPr>
      </w:pPr>
      <w:r w:rsidRPr="003C5A31">
        <w:rPr>
          <w:lang w:val="fr-FR"/>
        </w:rPr>
        <w:t>Meilleures pratiques et normes en matière de BPF (SC et FDA)</w:t>
      </w:r>
    </w:p>
    <w:p w14:paraId="20A99B8E" w14:textId="77777777" w:rsidR="009A406F" w:rsidRPr="003C5A31" w:rsidRDefault="009A406F" w:rsidP="009A406F">
      <w:pPr>
        <w:pStyle w:val="Paragraphedeliste"/>
        <w:numPr>
          <w:ilvl w:val="1"/>
          <w:numId w:val="1"/>
        </w:numPr>
        <w:spacing w:after="0"/>
        <w:rPr>
          <w:lang w:val="fr-FR"/>
        </w:rPr>
      </w:pPr>
      <w:r w:rsidRPr="003C5A31">
        <w:rPr>
          <w:lang w:val="fr-FR"/>
        </w:rPr>
        <w:t>Suivi des changements réglementaires et industriels</w:t>
      </w:r>
    </w:p>
    <w:p w14:paraId="25C152FB" w14:textId="77777777" w:rsidR="009A406F" w:rsidRPr="003855CB" w:rsidRDefault="009A406F" w:rsidP="009A406F">
      <w:pPr>
        <w:pStyle w:val="Paragraphedeliste"/>
        <w:spacing w:after="0"/>
        <w:ind w:left="0"/>
        <w:rPr>
          <w:b/>
          <w:bCs/>
          <w:sz w:val="12"/>
          <w:szCs w:val="12"/>
          <w:lang w:val="fr-FR"/>
        </w:rPr>
      </w:pPr>
    </w:p>
    <w:p w14:paraId="04992A19" w14:textId="77777777" w:rsidR="009A406F" w:rsidRDefault="009A406F" w:rsidP="009A406F">
      <w:pPr>
        <w:pStyle w:val="Paragraphedeliste"/>
        <w:spacing w:after="0"/>
        <w:ind w:left="0"/>
        <w:rPr>
          <w:b/>
          <w:bCs/>
          <w:lang w:val="fr-FR"/>
        </w:rPr>
      </w:pPr>
      <w:r w:rsidRPr="005A4402">
        <w:rPr>
          <w:b/>
          <w:bCs/>
          <w:lang w:val="fr-FR"/>
        </w:rPr>
        <w:t>Signé / Reconnu par :</w:t>
      </w:r>
    </w:p>
    <w:tbl>
      <w:tblPr>
        <w:tblStyle w:val="Grilledutableau"/>
        <w:tblW w:w="0" w:type="auto"/>
        <w:jc w:val="center"/>
        <w:tblLook w:val="04A0" w:firstRow="1" w:lastRow="0" w:firstColumn="1" w:lastColumn="0" w:noHBand="0" w:noVBand="1"/>
      </w:tblPr>
      <w:tblGrid>
        <w:gridCol w:w="2895"/>
        <w:gridCol w:w="2981"/>
        <w:gridCol w:w="2754"/>
      </w:tblGrid>
      <w:tr w:rsidR="009A406F" w14:paraId="521A76B0" w14:textId="77777777" w:rsidTr="00AF7966">
        <w:trPr>
          <w:jc w:val="center"/>
        </w:trPr>
        <w:tc>
          <w:tcPr>
            <w:tcW w:w="3351" w:type="dxa"/>
            <w:vAlign w:val="center"/>
          </w:tcPr>
          <w:p w14:paraId="02F0BC6E" w14:textId="77777777" w:rsidR="009A406F" w:rsidRPr="005A4402" w:rsidRDefault="009A406F" w:rsidP="00AF7966">
            <w:pPr>
              <w:pStyle w:val="Paragraphedeliste"/>
              <w:ind w:left="0"/>
              <w:rPr>
                <w:lang w:val="fr-FR"/>
              </w:rPr>
            </w:pPr>
            <w:r w:rsidRPr="005A4402">
              <w:rPr>
                <w:lang w:val="fr-FR"/>
              </w:rPr>
              <w:t>Glenda Meyer, responsable de l'assurance qualité</w:t>
            </w:r>
          </w:p>
        </w:tc>
        <w:tc>
          <w:tcPr>
            <w:tcW w:w="3352" w:type="dxa"/>
            <w:vAlign w:val="center"/>
          </w:tcPr>
          <w:p w14:paraId="6879760A" w14:textId="77777777" w:rsidR="009A406F" w:rsidRDefault="009A406F" w:rsidP="00AF7966">
            <w:pPr>
              <w:pStyle w:val="Paragraphedeliste"/>
              <w:ind w:left="0"/>
            </w:pPr>
            <w:r>
              <w:rPr>
                <w:noProof/>
              </w:rPr>
              <w:drawing>
                <wp:inline distT="0" distB="0" distL="0" distR="0" wp14:anchorId="3A5AD8AE" wp14:editId="4A375158">
                  <wp:extent cx="933960" cy="3879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712" cy="396556"/>
                          </a:xfrm>
                          <a:prstGeom prst="rect">
                            <a:avLst/>
                          </a:prstGeom>
                          <a:noFill/>
                          <a:ln>
                            <a:noFill/>
                          </a:ln>
                        </pic:spPr>
                      </pic:pic>
                    </a:graphicData>
                  </a:graphic>
                </wp:inline>
              </w:drawing>
            </w:r>
          </w:p>
        </w:tc>
        <w:tc>
          <w:tcPr>
            <w:tcW w:w="3352" w:type="dxa"/>
            <w:vAlign w:val="center"/>
          </w:tcPr>
          <w:p w14:paraId="16B252AD" w14:textId="77777777" w:rsidR="009A406F" w:rsidRDefault="009A406F" w:rsidP="00AF7966">
            <w:pPr>
              <w:pStyle w:val="Paragraphedeliste"/>
              <w:ind w:left="0"/>
            </w:pPr>
            <w:r w:rsidRPr="00687210">
              <w:t xml:space="preserve">10 </w:t>
            </w:r>
            <w:proofErr w:type="spellStart"/>
            <w:r w:rsidRPr="00687210">
              <w:t>mai</w:t>
            </w:r>
            <w:proofErr w:type="spellEnd"/>
            <w:r w:rsidRPr="00687210">
              <w:t xml:space="preserve"> 2024</w:t>
            </w:r>
          </w:p>
        </w:tc>
      </w:tr>
    </w:tbl>
    <w:p w14:paraId="5C480E7C" w14:textId="77777777" w:rsidR="009A406F" w:rsidRDefault="009A406F" w:rsidP="009A406F">
      <w:pPr>
        <w:spacing w:after="0"/>
        <w:rPr>
          <w:lang w:val="fr-FR"/>
        </w:rPr>
      </w:pPr>
    </w:p>
    <w:p w14:paraId="29E9D5DC" w14:textId="53608F00" w:rsidR="008E18FD" w:rsidRPr="009A406F" w:rsidRDefault="009A406F" w:rsidP="009A406F">
      <w:pPr>
        <w:rPr>
          <w:lang w:val="fr-CA"/>
        </w:rPr>
      </w:pPr>
      <w:r w:rsidRPr="00DF316C">
        <w:rPr>
          <w:b/>
          <w:bCs/>
          <w:i/>
          <w:iCs/>
          <w:lang w:val="fr-FR"/>
        </w:rPr>
        <w:t>REMARQUE : La présente politique de qualité / déclaration SMQ reste valable, sauf indication contraire</w:t>
      </w:r>
    </w:p>
    <w:sectPr w:rsidR="008E18FD" w:rsidRPr="009A406F" w:rsidSect="00B201C0">
      <w:headerReference w:type="default" r:id="rId8"/>
      <w:pgSz w:w="12240" w:h="15840"/>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DA06" w14:textId="77777777" w:rsidR="009C175C" w:rsidRDefault="009C175C" w:rsidP="009A406F">
      <w:pPr>
        <w:spacing w:after="0" w:line="240" w:lineRule="auto"/>
      </w:pPr>
      <w:r>
        <w:separator/>
      </w:r>
    </w:p>
  </w:endnote>
  <w:endnote w:type="continuationSeparator" w:id="0">
    <w:p w14:paraId="155E797A" w14:textId="77777777" w:rsidR="009C175C" w:rsidRDefault="009C175C" w:rsidP="009A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B40B" w14:textId="77777777" w:rsidR="009C175C" w:rsidRDefault="009C175C" w:rsidP="009A406F">
      <w:pPr>
        <w:spacing w:after="0" w:line="240" w:lineRule="auto"/>
      </w:pPr>
      <w:r>
        <w:separator/>
      </w:r>
    </w:p>
  </w:footnote>
  <w:footnote w:type="continuationSeparator" w:id="0">
    <w:p w14:paraId="73BF8915" w14:textId="77777777" w:rsidR="009C175C" w:rsidRDefault="009C175C" w:rsidP="009A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2BFB" w14:textId="3EA32EF0" w:rsidR="009A406F" w:rsidRDefault="009A406F" w:rsidP="009A406F">
    <w:pPr>
      <w:pStyle w:val="En-tte"/>
      <w:jc w:val="center"/>
    </w:pPr>
    <w:r>
      <w:rPr>
        <w:noProof/>
      </w:rPr>
      <w:drawing>
        <wp:inline distT="0" distB="0" distL="0" distR="0" wp14:anchorId="3A4B93D6" wp14:editId="51744553">
          <wp:extent cx="2186609" cy="47427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572" cy="4833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5.05pt" o:bullet="t">
        <v:imagedata r:id="rId1" o:title="bulletpoint"/>
      </v:shape>
    </w:pict>
  </w:numPicBullet>
  <w:abstractNum w:abstractNumId="0" w15:restartNumberingAfterBreak="0">
    <w:nsid w:val="0480498C"/>
    <w:multiLevelType w:val="hybridMultilevel"/>
    <w:tmpl w:val="BFAA74C2"/>
    <w:lvl w:ilvl="0" w:tplc="16C27836">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5B18BB"/>
    <w:multiLevelType w:val="hybridMultilevel"/>
    <w:tmpl w:val="E89EA9A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ACC64E7"/>
    <w:multiLevelType w:val="hybridMultilevel"/>
    <w:tmpl w:val="968611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571332C"/>
    <w:multiLevelType w:val="hybridMultilevel"/>
    <w:tmpl w:val="D31669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194810440">
    <w:abstractNumId w:val="0"/>
  </w:num>
  <w:num w:numId="2" w16cid:durableId="1455752975">
    <w:abstractNumId w:val="3"/>
  </w:num>
  <w:num w:numId="3" w16cid:durableId="87654057">
    <w:abstractNumId w:val="2"/>
  </w:num>
  <w:num w:numId="4" w16cid:durableId="1732077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6F"/>
    <w:rsid w:val="00135B74"/>
    <w:rsid w:val="007B08C0"/>
    <w:rsid w:val="007B3B5E"/>
    <w:rsid w:val="008613EB"/>
    <w:rsid w:val="008E18FD"/>
    <w:rsid w:val="009A406F"/>
    <w:rsid w:val="009C175C"/>
    <w:rsid w:val="00B201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A009D"/>
  <w15:chartTrackingRefBased/>
  <w15:docId w15:val="{FEE3136A-CD1D-43FD-923A-37EDC4DC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6F"/>
    <w:rPr>
      <w:kern w:val="0"/>
      <w:lang w:val="en-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406F"/>
    <w:pPr>
      <w:tabs>
        <w:tab w:val="center" w:pos="4320"/>
        <w:tab w:val="right" w:pos="8640"/>
      </w:tabs>
      <w:spacing w:after="0" w:line="240" w:lineRule="auto"/>
    </w:pPr>
  </w:style>
  <w:style w:type="character" w:customStyle="1" w:styleId="En-tteCar">
    <w:name w:val="En-tête Car"/>
    <w:basedOn w:val="Policepardfaut"/>
    <w:link w:val="En-tte"/>
    <w:uiPriority w:val="99"/>
    <w:rsid w:val="009A406F"/>
    <w:rPr>
      <w:lang w:val="en-CA"/>
    </w:rPr>
  </w:style>
  <w:style w:type="paragraph" w:styleId="Pieddepage">
    <w:name w:val="footer"/>
    <w:basedOn w:val="Normal"/>
    <w:link w:val="PieddepageCar"/>
    <w:uiPriority w:val="99"/>
    <w:unhideWhenUsed/>
    <w:rsid w:val="009A40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406F"/>
    <w:rPr>
      <w:lang w:val="en-CA"/>
    </w:rPr>
  </w:style>
  <w:style w:type="paragraph" w:styleId="Paragraphedeliste">
    <w:name w:val="List Paragraph"/>
    <w:basedOn w:val="Normal"/>
    <w:uiPriority w:val="34"/>
    <w:qFormat/>
    <w:rsid w:val="009A406F"/>
    <w:pPr>
      <w:ind w:left="720"/>
      <w:contextualSpacing/>
    </w:pPr>
  </w:style>
  <w:style w:type="table" w:styleId="Grilledutableau">
    <w:name w:val="Table Grid"/>
    <w:basedOn w:val="TableauNormal"/>
    <w:uiPriority w:val="39"/>
    <w:rsid w:val="009A406F"/>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Tremblay</dc:creator>
  <cp:keywords/>
  <dc:description/>
  <cp:lastModifiedBy>David Pelletier</cp:lastModifiedBy>
  <cp:revision>2</cp:revision>
  <dcterms:created xsi:type="dcterms:W3CDTF">2024-05-23T19:27:00Z</dcterms:created>
  <dcterms:modified xsi:type="dcterms:W3CDTF">2024-05-23T19:27:00Z</dcterms:modified>
</cp:coreProperties>
</file>